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JUTRO MEDICAL SP. Z O.O. </w:t>
      </w:r>
    </w:p>
    <w:p w:rsidR="00000000" w:rsidDel="00000000" w:rsidP="00000000" w:rsidRDefault="00000000" w:rsidRPr="00000000" w14:paraId="00000003">
      <w:pPr>
        <w:spacing w:line="276" w:lineRule="auto"/>
        <w:jc w:val="righ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Aleja Jana Pawła II 27,  00-867 Warszawa </w:t>
      </w:r>
    </w:p>
    <w:p w:rsidR="00000000" w:rsidDel="00000000" w:rsidP="00000000" w:rsidRDefault="00000000" w:rsidRPr="00000000" w14:paraId="00000004">
      <w:pPr>
        <w:spacing w:line="276" w:lineRule="auto"/>
        <w:jc w:val="righ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jednostka organizacyjna:</w:t>
      </w:r>
    </w:p>
    <w:p w:rsidR="00000000" w:rsidDel="00000000" w:rsidP="00000000" w:rsidRDefault="00000000" w:rsidRPr="00000000" w14:paraId="00000005">
      <w:pPr>
        <w:spacing w:line="276" w:lineRule="auto"/>
        <w:jc w:val="righ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NZOZ Jutro Medical Powązkowska 44</w:t>
      </w:r>
    </w:p>
    <w:p w:rsidR="00000000" w:rsidDel="00000000" w:rsidP="00000000" w:rsidRDefault="00000000" w:rsidRPr="00000000" w14:paraId="00000006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ZAŁĄCZNIK NR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1 </w:t>
      </w:r>
    </w:p>
    <w:p w:rsidR="00000000" w:rsidDel="00000000" w:rsidP="00000000" w:rsidRDefault="00000000" w:rsidRPr="00000000" w14:paraId="0000000A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DO ZAPYTANIA OFERTOWEGO  1/03/2026</w:t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OPIS PRZEDMIOTU ZAMÓWIENIA (OPZ)</w:t>
      </w:r>
    </w:p>
    <w:p w:rsidR="00000000" w:rsidDel="00000000" w:rsidP="00000000" w:rsidRDefault="00000000" w:rsidRPr="00000000" w14:paraId="0000000C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1. Informacje ogólne</w:t>
      </w:r>
    </w:p>
    <w:p w:rsidR="00000000" w:rsidDel="00000000" w:rsidP="00000000" w:rsidRDefault="00000000" w:rsidRPr="00000000" w14:paraId="0000000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Postępowanie prowadzone jest w trybie zapytania ofertowego, z zachowaniem zasady konkurencyjności zgodnie z Wytycznymi kwalifikowalności wydatków w perspektywie 2021-2027.</w:t>
      </w:r>
    </w:p>
    <w:p w:rsidR="00000000" w:rsidDel="00000000" w:rsidP="00000000" w:rsidRDefault="00000000" w:rsidRPr="00000000" w14:paraId="0000000F">
      <w:pPr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Język postępowania i dokumentacji: polski.</w:t>
        <w:br w:type="textWrapping"/>
        <w:t xml:space="preserve">Zamówienie jest prowadzone bez zastosowania trybów wynikających z ustawy Prawo zamówień publicznych.</w:t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2. Przedmiot zamówienia</w:t>
      </w:r>
    </w:p>
    <w:p w:rsidR="00000000" w:rsidDel="00000000" w:rsidP="00000000" w:rsidRDefault="00000000" w:rsidRPr="00000000" w14:paraId="00000011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Przedmiotem zamówienia jest dostawa, instalacja, uruchomienie oraz przeszkolenie personelu w zakresie obsługi wszechstronnego aparatu ultrasonograficznego (USG) wraz z wyposażeniem przeznaczonego do użytkowania w jednostce organizacyjnej NZOZ Jutro Medical Powązkowska 44.</w:t>
      </w:r>
    </w:p>
    <w:p w:rsidR="00000000" w:rsidDel="00000000" w:rsidP="00000000" w:rsidRDefault="00000000" w:rsidRPr="00000000" w14:paraId="00000012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Zakres obejmuje jedną część: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Część 1 - Wszechstronny aparat ultrasonograficzny USG wraz z wyposażeniem – szt. 1,</w:t>
      </w:r>
    </w:p>
    <w:p w:rsidR="00000000" w:rsidDel="00000000" w:rsidP="00000000" w:rsidRDefault="00000000" w:rsidRPr="00000000" w14:paraId="00000014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Jest to łączny przedmiot zamówienia.</w:t>
      </w:r>
    </w:p>
    <w:p w:rsidR="00000000" w:rsidDel="00000000" w:rsidP="00000000" w:rsidRDefault="00000000" w:rsidRPr="00000000" w14:paraId="00000015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3. Wymagania ogólne: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Urządzenie musi być fabrycznie nowe, wolne od wad fizycznych i prawnych, wyprodukowane nie wcześniej niż w 2025 roku, posiadające oznakowanie CE i spełniające wymagania Rozporządzenia (UE) 2017/745 (MDR) dotyczącego wyrobów medycznych.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240" w:lineRule="auto"/>
        <w:ind w:left="720" w:right="60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Realizacja zamówienia obejmuje dostarczenie do siedziby Zamawiającego w pełni funkcjonalnego wszechstronnego aparatu ultrasonograficznego wraz z jego uruchomieniem, konfiguracją oraz przeszkoleniem personelu w zakresie obsługi i eksploatacji urządzenia.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Wykonawca zobowiązany jest do przekazania pełnej dokumentacji technicznej, deklaracji zgodności, instrukcji obsługi i konserwacji w języku polskim (wersja papierowa 1szt i elektroniczna na powszechnie stosowanym nośniku danych, np. pamięć USB 1szt).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Okres gwarancji: minimum 60 miesięcy od daty podpisania protokołu odbioru; serwis gwarancyjny w siedzibie Zamawiającego; naprawy, przeglądy i części eksploatacyjne w cenie.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Sprzęt musi być objęty pełnym serwisem producenta w trakcie gwarancji, a dostępność części zamiennych zapewniona przez co najmniej 8 lat od daty dostawy.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Zamawiający dopuszcza rozwiązania równoważne, przy zachowaniu parametrów funkcjonalnych i użytkowych nie gorszych niż określone w załączonych tabelach parametrów technicznych. Równoważność została w szczegółowy sposób określona w treści Zapytania ofertowego.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Wykonawca zobowiązany jest do spełnienia zasady DNSH (Do No Significant Harm), w tym do dostarczenia sprzętu energooszczędnego, bez substancji zakazanych (zgodnych z RoHS i REACH), z funkcjami oszczędzania energii, a także zapewnienia odbioru opakowań i zużytego sprzętu (WEEE).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Urządzenie musi być kompatybilne z infrastrukturą informatyczną i techniczną Zamawiającego, w tym z systemem archiwizacji obrazów PACS.</w:t>
      </w:r>
    </w:p>
    <w:p w:rsidR="00000000" w:rsidDel="00000000" w:rsidP="00000000" w:rsidRDefault="00000000" w:rsidRPr="00000000" w14:paraId="0000001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4. Wymagania szczegółowe</w:t>
      </w:r>
    </w:p>
    <w:p w:rsidR="00000000" w:rsidDel="00000000" w:rsidP="00000000" w:rsidRDefault="00000000" w:rsidRPr="00000000" w14:paraId="0000001F">
      <w:pPr>
        <w:jc w:val="both"/>
        <w:rPr>
          <w:sz w:val="20"/>
          <w:szCs w:val="20"/>
        </w:rPr>
      </w:pPr>
      <w:bookmarkStart w:colFirst="0" w:colLast="0" w:name="_heading=h.pqce3uw6nrc5" w:id="0"/>
      <w:bookmarkEnd w:id="0"/>
      <w:r w:rsidDel="00000000" w:rsidR="00000000" w:rsidRPr="00000000">
        <w:rPr>
          <w:sz w:val="20"/>
          <w:szCs w:val="20"/>
          <w:rtl w:val="0"/>
        </w:rPr>
        <w:t xml:space="preserve">Część 1 –Wszechstronny aparat ultrasonograficzny USG wraz z wyposażeniem – szt. 1</w:t>
      </w:r>
    </w:p>
    <w:p w:rsidR="00000000" w:rsidDel="00000000" w:rsidP="00000000" w:rsidRDefault="00000000" w:rsidRPr="00000000" w14:paraId="0000002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Poniższa tabela zawiera zestawienie parametrów technicznych i funkcjonalnych przedmiotu zamówienia. Parametry oznaczone jako „obligatoryjne” stanowią wymagania minimalne, których niespełnienie skutkuje odrzuceniem oferty. Parametry oznaczone jako „fakultatywne/oceniane” podlegają deklaracji przez Wykonawcę i mogą stanowić element oceny ofert.</w:t>
      </w:r>
    </w:p>
    <w:p w:rsidR="00000000" w:rsidDel="00000000" w:rsidP="00000000" w:rsidRDefault="00000000" w:rsidRPr="00000000" w14:paraId="00000021">
      <w:pPr>
        <w:spacing w:after="24" w:line="360" w:lineRule="auto"/>
        <w:ind w:left="284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356148128"/>
        <w:tag w:val="goog_rdk_0"/>
      </w:sdtPr>
      <w:sdtContent>
        <w:tbl>
          <w:tblPr>
            <w:tblStyle w:val="Table1"/>
            <w:tblW w:w="10170.0" w:type="dxa"/>
            <w:jc w:val="left"/>
            <w:tblInd w:w="299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65"/>
            <w:gridCol w:w="3315"/>
            <w:gridCol w:w="1200"/>
            <w:gridCol w:w="2610"/>
            <w:gridCol w:w="2580"/>
            <w:tblGridChange w:id="0">
              <w:tblGrid>
                <w:gridCol w:w="465"/>
                <w:gridCol w:w="3315"/>
                <w:gridCol w:w="1200"/>
                <w:gridCol w:w="2610"/>
                <w:gridCol w:w="258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2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Lp.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3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Opis parametrów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24">
                <w:pPr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Parametry Wymagane/Oceniane 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25">
                <w:pPr>
                  <w:spacing w:after="0" w:line="276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Charakter parametru</w:t>
                </w:r>
              </w:p>
            </w:tc>
            <w:tc>
              <w:tcPr>
                <w:tcBorders>
                  <w:top w:color="000000" w:space="0" w:sz="4" w:val="single"/>
                  <w:left w:color="000000" w:space="0" w:sz="4" w:val="single"/>
                  <w:bottom w:color="000000" w:space="0" w:sz="4" w:val="single"/>
                  <w:right w:color="000000" w:space="0" w:sz="4" w:val="single"/>
                </w:tcBorders>
                <w:tcMar>
                  <w:top w:w="0.0" w:type="dxa"/>
                  <w:left w:w="108.0" w:type="dxa"/>
                  <w:bottom w:w="0.0" w:type="dxa"/>
                  <w:right w:w="108.0" w:type="dxa"/>
                </w:tcMar>
                <w:vAlign w:val="center"/>
              </w:tcPr>
              <w:p w:rsidR="00000000" w:rsidDel="00000000" w:rsidP="00000000" w:rsidRDefault="00000000" w:rsidRPr="00000000" w14:paraId="00000026">
                <w:pPr>
                  <w:spacing w:after="0" w:line="276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Punktacja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7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8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Sprzęt fabrycznie nowy. Rok produkcji nie wcześniejszy niż 2025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9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A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B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C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D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Dostawa, montaż, instalacja, uruchomienie oraz przeszkolenie personelu medycznego i technicznego w zakresie eksploatacji i obsługi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E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2F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0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rHeight w:val="916" w:hRule="atLeast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1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2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Szkolenia dla personelu medycznego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3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4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5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6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4.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7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Gwarancja minimum 60 miesięcy oraz wykonywanie przeglądów technicznych zgodnie z zaleceniami producenta. W przypadku braku wymogu przeglądów - oświadczenie producenta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8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MIN. 60 MIESIĘCY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9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A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B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5.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C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Czas reakcji serwisu (telefonicznej)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D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E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 (punktowany)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3F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&gt;48 h – 1 pkt; ≤48 h – 2 pkt; ≤24 h – 4 pkt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0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6.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1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Maksymalny czas przyjazdu serwisu do miejsca użytkowania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2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3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 (punktowany)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4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&gt;48 h – 1 pkt; ≤48 h – 2 pkt; ≤24 h – 4 pkt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5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7.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6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Zapewnienie urządzenia zastępczego w przypadku naprawy przekraczającej uzgodniony czas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7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TAK/NIE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8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 (punktowany)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9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NIE – 2 pkt; TAK – 4 pkt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A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8.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B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Liczba portów głowic (aktywne porty wysokiej rozdzielczości)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C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MIN. 4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D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E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4F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9.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0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Tryby obrazowania: B-mode, Color Doppler, Power Doppler, PW Doppler, M-mode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1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2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3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4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10.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5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Dostarczone głowice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6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7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8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9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A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Deklaracja zgodności CE zgodna z Rozporządzeniem 2017/745 (MDR)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B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C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D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E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5F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wymogów DNSH oraz zgodności z RoHS/REACH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0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1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2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3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13.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4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Okres dostępności części zamiennych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5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MIN. 8 LAT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6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7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8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14.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9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Dysk SSD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A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B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C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D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15..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E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Monitor medyczny IPS LED – min. 21”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6F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0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1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2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16.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3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Regulacja monitora w min. 2 płaszczyznach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4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5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6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7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17.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8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Panel dotykowy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9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Min. 10”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A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B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C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18.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D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Automatyczna optymalizacja obrazu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E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7F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0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1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19.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2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Pakiety pomiarowe (jama brzuszna, małe narządy, naczynia, urologia, pediatria)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3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4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5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6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20.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7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DICOM 3.0 Storage i Worklist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8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9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A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B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C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Elastografia (Strain lub równoważna)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D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E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8F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0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1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Oprogramowanie wspomagające wizualizację igły biopsyjnej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2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3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4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5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23.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6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Videoprinter medyczny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7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8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9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A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24.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B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Materiały eksploatacyjne startowe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C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D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E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9F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25.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0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Termin realizacji przedmiotu zamówienia obejmujący dostawę, instalację, testy, przeszkolenie personelu oraz podpisanie protokołu odbioru końcowego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1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≤ 8 TYGODNI OD PODPISANIA UMOWY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2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3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4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26.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5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Obrazowanie harmoniczne tkankowe (równoważne FTHI/PTHI)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6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7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8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rHeight w:val="469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9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27.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A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Obrazowanie krzyżowe (SCI lub równoważne)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B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C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D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E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28..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AF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Convex - min. zakres 1-7 MHz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0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1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2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3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29.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4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Liniowa - min. zakres 3-12 MHz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5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6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7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8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30.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9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Konstrukcja mobilna (jezdna)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A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B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C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D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31.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E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Przeglądy gwarancyjne w okresie gwarancji zgodnie z wymaganiami producenta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BF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0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1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2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32.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3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Automatyczny pomiar żyły głównej dolnej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4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5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6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7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33.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8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Funkcja ilościowej oceny stłuszczenia wątroby (równoważna ATI)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9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A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Obligatoryjny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B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Spełnienie wymagane – parametr obligatoryjny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C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34.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D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Dodatkowe funkcje obrazowania i wsparcia diagnostycznego wykraczające poza wymagania minimalne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E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NIE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CF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Fakultatywny / informacyjny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0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brak – 0 pkt; 1 funkcja – 2 pkt; ≥2 funkcje – 4 pkt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1">
                <w:pPr>
                  <w:widowControl w:val="0"/>
                  <w:spacing w:after="0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35.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2">
                <w:pPr>
                  <w:widowControl w:val="0"/>
                  <w:spacing w:after="0" w:lineRule="auto"/>
                  <w:jc w:val="both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Recykling opakowania transportowego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3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TAK/NIE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4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Fakultatywny / punktowany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</w:tcPr>
              <w:p w:rsidR="00000000" w:rsidDel="00000000" w:rsidP="00000000" w:rsidRDefault="00000000" w:rsidRPr="00000000" w14:paraId="000000D5">
                <w:pPr>
                  <w:widowControl w:val="0"/>
                  <w:spacing w:after="0" w:lineRule="auto"/>
                  <w:jc w:val="center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NIE – 0 pkt; TAK – 2 pkt</w:t>
                </w:r>
              </w:p>
            </w:tc>
          </w:tr>
        </w:tbl>
      </w:sdtContent>
    </w:sdt>
    <w:p w:rsidR="00000000" w:rsidDel="00000000" w:rsidP="00000000" w:rsidRDefault="00000000" w:rsidRPr="00000000" w14:paraId="000000D6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Aparat ultrasonograficzny, mobilny, z zintegrowaną stacją roboczą i videoprinterem.</w:t>
        <w:br w:type="textWrapping"/>
        <w:t xml:space="preserve">Urządzenie wyposażone w minimum trzy głowice.</w:t>
      </w:r>
    </w:p>
    <w:p w:rsidR="00000000" w:rsidDel="00000000" w:rsidP="00000000" w:rsidRDefault="00000000" w:rsidRPr="00000000" w14:paraId="000000D8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5. Wymagania środowiskowe (DNSH)</w:t>
      </w:r>
    </w:p>
    <w:p w:rsidR="00000000" w:rsidDel="00000000" w:rsidP="00000000" w:rsidRDefault="00000000" w:rsidRPr="00000000" w14:paraId="000000D9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Wykonawca zobowiązuje się do:</w:t>
      </w:r>
    </w:p>
    <w:p w:rsidR="00000000" w:rsidDel="00000000" w:rsidP="00000000" w:rsidRDefault="00000000" w:rsidRPr="00000000" w14:paraId="000000DA">
      <w:pPr>
        <w:numPr>
          <w:ilvl w:val="0"/>
          <w:numId w:val="1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dostarczenia sprzętu o niskim zużyciu energii, posiadającego funkcje trybu uśpienia i stand-by,</w:t>
      </w:r>
    </w:p>
    <w:p w:rsidR="00000000" w:rsidDel="00000000" w:rsidP="00000000" w:rsidRDefault="00000000" w:rsidRPr="00000000" w14:paraId="000000DB">
      <w:pPr>
        <w:numPr>
          <w:ilvl w:val="0"/>
          <w:numId w:val="1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unikania substancji niebezpiecznych (zgodność z RoHS i REACH),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eliminacji chłodzenia wodnego i emisji zanieczyszczeń,</w:t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odbioru opakowań i złomu elektronicznego,</w:t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ograniczenia liczby transportów i optymalizacji dostaw.</w:t>
      </w:r>
    </w:p>
    <w:p w:rsidR="00000000" w:rsidDel="00000000" w:rsidP="00000000" w:rsidRDefault="00000000" w:rsidRPr="00000000" w14:paraId="000000DF">
      <w:pPr>
        <w:spacing w:after="240" w:before="240" w:lineRule="auto"/>
        <w:ind w:right="60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przypadku gdy oferowane urządzenie wyposażone jest w baterię lub akumulator umożliwiający pracę bez podłączenia do sieci elektrycznej, Wykonawca zobowiązany jest do zapewnienia zgodności z obowiązującymi przepisami dotyczącymi baterii i akumulatorów oraz do odbioru i zagospodarowania zużytych baterii lub akumulatorów zgodnie z zasadą DNSH.</w:t>
      </w:r>
    </w:p>
    <w:p w:rsidR="00000000" w:rsidDel="00000000" w:rsidP="00000000" w:rsidRDefault="00000000" w:rsidRPr="00000000" w14:paraId="000000E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6. Termin realizacji</w:t>
      </w:r>
    </w:p>
    <w:p w:rsidR="00000000" w:rsidDel="00000000" w:rsidP="00000000" w:rsidRDefault="00000000" w:rsidRPr="00000000" w14:paraId="000000E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jc w:val="both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Termin dostawy wskazanych sprzętów: do 8 tygodni od podpisania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jc w:val="both"/>
        <w:rPr/>
      </w:pPr>
      <w:r w:rsidDel="00000000" w:rsidR="00000000" w:rsidRPr="00000000">
        <w:rPr>
          <w:color w:val="000000"/>
          <w:sz w:val="20"/>
          <w:szCs w:val="20"/>
          <w:rtl w:val="0"/>
        </w:rPr>
        <w:t xml:space="preserve">Termin instalacji wskazanych sprzętów: do 8 tygodni od podpisania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numPr>
          <w:ilvl w:val="0"/>
          <w:numId w:val="2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Szkolenie i odbiór końcowy – do 8 tygodni od podpisania umowy </w:t>
      </w:r>
    </w:p>
    <w:p w:rsidR="00000000" w:rsidDel="00000000" w:rsidP="00000000" w:rsidRDefault="00000000" w:rsidRPr="00000000" w14:paraId="000000E4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7. Warunki płatności</w:t>
      </w:r>
    </w:p>
    <w:p w:rsidR="00000000" w:rsidDel="00000000" w:rsidP="00000000" w:rsidRDefault="00000000" w:rsidRPr="00000000" w14:paraId="000000E5">
      <w:pPr>
        <w:ind w:left="709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Płatność w terminie do 30 dni od daty wpływu prawidłowo wystawionej faktury VAT (zgodnie z zapisami Umowy), której podstawą do wystawienia jest odbiór protokolarny wykonanego przedmiotu (elementu przedmiotu) zamówienia. Płatność nastąpi po dostawie, odbiorze i dostarczeniu wymaganych dokumentów.</w:t>
      </w:r>
    </w:p>
    <w:p w:rsidR="00000000" w:rsidDel="00000000" w:rsidP="00000000" w:rsidRDefault="00000000" w:rsidRPr="00000000" w14:paraId="000000E6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8. Postanowienia końcowe</w:t>
      </w:r>
    </w:p>
    <w:p w:rsidR="00000000" w:rsidDel="00000000" w:rsidP="00000000" w:rsidRDefault="00000000" w:rsidRPr="00000000" w14:paraId="000000E7">
      <w:pPr>
        <w:numPr>
          <w:ilvl w:val="0"/>
          <w:numId w:val="3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Sprzęt objęty będzie odbiorem ilościowo-jakościowym w obecności przedstawicieli Zamawiającego.</w:t>
      </w:r>
    </w:p>
    <w:p w:rsidR="00000000" w:rsidDel="00000000" w:rsidP="00000000" w:rsidRDefault="00000000" w:rsidRPr="00000000" w14:paraId="000000E8">
      <w:pPr>
        <w:numPr>
          <w:ilvl w:val="0"/>
          <w:numId w:val="3"/>
        </w:numPr>
        <w:spacing w:after="240" w:before="240" w:lineRule="auto"/>
        <w:ind w:left="720" w:right="600" w:hanging="360"/>
        <w:jc w:val="both"/>
      </w:pPr>
      <w:r w:rsidDel="00000000" w:rsidR="00000000" w:rsidRPr="00000000">
        <w:rPr>
          <w:sz w:val="20"/>
          <w:szCs w:val="20"/>
          <w:rtl w:val="0"/>
        </w:rPr>
        <w:t xml:space="preserve">Wszelkie koszty związane z realizacją zamówienia ponosi Wykonawca.</w:t>
      </w:r>
    </w:p>
    <w:p w:rsidR="00000000" w:rsidDel="00000000" w:rsidP="00000000" w:rsidRDefault="00000000" w:rsidRPr="00000000" w14:paraId="000000E9">
      <w:pPr>
        <w:numPr>
          <w:ilvl w:val="0"/>
          <w:numId w:val="3"/>
        </w:numPr>
        <w:ind w:left="720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Zamawiający zastrzega prawo do weryfikacji parametrów w trakcie odbioru oraz do żądania wyjaśnień dotyczących równoważności oferowanego sprzętu.</w:t>
      </w:r>
    </w:p>
    <w:p w:rsidR="00000000" w:rsidDel="00000000" w:rsidP="00000000" w:rsidRDefault="00000000" w:rsidRPr="00000000" w14:paraId="000000EA">
      <w:pPr>
        <w:numPr>
          <w:ilvl w:val="0"/>
          <w:numId w:val="3"/>
        </w:numPr>
        <w:spacing w:after="200" w:line="276" w:lineRule="auto"/>
        <w:ind w:left="709" w:hanging="360"/>
        <w:jc w:val="both"/>
        <w:rPr>
          <w:sz w:val="20"/>
          <w:szCs w:val="20"/>
        </w:rPr>
      </w:pPr>
      <w:bookmarkStart w:colFirst="0" w:colLast="0" w:name="_heading=h.ennwta7rhjdf" w:id="1"/>
      <w:bookmarkEnd w:id="1"/>
      <w:r w:rsidDel="00000000" w:rsidR="00000000" w:rsidRPr="00000000">
        <w:rPr>
          <w:sz w:val="20"/>
          <w:szCs w:val="20"/>
          <w:rtl w:val="0"/>
        </w:rPr>
        <w:t xml:space="preserve">Wykonawca dostarczy oświadczenie o spełnieniu zasady DNSH oraz wymagane certyfikaty i deklaracje zgodności.</w:t>
      </w:r>
    </w:p>
    <w:p w:rsidR="00000000" w:rsidDel="00000000" w:rsidP="00000000" w:rsidRDefault="00000000" w:rsidRPr="00000000" w14:paraId="000000EB">
      <w:pPr>
        <w:spacing w:after="0" w:line="276" w:lineRule="auto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0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0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0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0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0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0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0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0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0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0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0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0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0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0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0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0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0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0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0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0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0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0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color w:val="2e74b5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color w:val="2e74b5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e74b5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e74b5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e74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sz w:val="56"/>
      <w:szCs w:val="56"/>
    </w:rPr>
  </w:style>
  <w:style w:type="paragraph" w:styleId="Nagwek7">
    <w:name w:val="heading 7"/>
    <w:pPr>
      <w:keepNext w:val="1"/>
      <w:keepLines w:val="1"/>
      <w:spacing w:after="0" w:before="40"/>
      <w:outlineLvl w:val="6"/>
    </w:pPr>
    <w:rPr>
      <w:rFonts w:eastAsia="Times New Roman"/>
      <w:color w:val="595959"/>
    </w:rPr>
  </w:style>
  <w:style w:type="paragraph" w:styleId="Nagwek8">
    <w:name w:val="heading 8"/>
    <w:pPr>
      <w:keepNext w:val="1"/>
      <w:keepLines w:val="1"/>
      <w:spacing w:after="0"/>
      <w:outlineLvl w:val="7"/>
    </w:pPr>
    <w:rPr>
      <w:rFonts w:eastAsia="Times New Roman"/>
      <w:i w:val="1"/>
      <w:iCs w:val="1"/>
      <w:color w:val="272727"/>
    </w:rPr>
  </w:style>
  <w:style w:type="paragraph" w:styleId="Nagwek9">
    <w:name w:val="heading 9"/>
    <w:pPr>
      <w:keepNext w:val="1"/>
      <w:keepLines w:val="1"/>
      <w:spacing w:after="0"/>
      <w:outlineLvl w:val="8"/>
    </w:pPr>
    <w:rPr>
      <w:rFonts w:eastAsia="Times New Roman"/>
      <w:color w:val="272727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Nagwek1Znak" w:customStyle="1">
    <w:name w:val="Nagłówek 1 Znak"/>
    <w:basedOn w:val="Domylnaczcionkaakapitu"/>
    <w:rPr>
      <w:rFonts w:ascii="Calibri Light" w:cs="Times New Roman" w:eastAsia="Times New Roman" w:hAnsi="Calibri Light"/>
      <w:color w:val="2e74b5"/>
      <w:sz w:val="40"/>
      <w:szCs w:val="40"/>
    </w:rPr>
  </w:style>
  <w:style w:type="character" w:styleId="Nagwek2Znak" w:customStyle="1">
    <w:name w:val="Nagłówek 2 Znak"/>
    <w:basedOn w:val="Domylnaczcionkaakapitu"/>
    <w:rPr>
      <w:rFonts w:ascii="Calibri Light" w:cs="Times New Roman" w:eastAsia="Times New Roman" w:hAnsi="Calibri Light"/>
      <w:color w:val="2e74b5"/>
      <w:sz w:val="32"/>
      <w:szCs w:val="32"/>
    </w:rPr>
  </w:style>
  <w:style w:type="character" w:styleId="Nagwek3Znak" w:customStyle="1">
    <w:name w:val="Nagłówek 3 Znak"/>
    <w:basedOn w:val="Domylnaczcionkaakapitu"/>
    <w:rPr>
      <w:rFonts w:cs="Times New Roman" w:eastAsia="Times New Roman"/>
      <w:color w:val="2e74b5"/>
      <w:sz w:val="28"/>
      <w:szCs w:val="28"/>
    </w:rPr>
  </w:style>
  <w:style w:type="character" w:styleId="Nagwek4Znak" w:customStyle="1">
    <w:name w:val="Nagłówek 4 Znak"/>
    <w:basedOn w:val="Domylnaczcionkaakapitu"/>
    <w:rPr>
      <w:rFonts w:cs="Times New Roman" w:eastAsia="Times New Roman"/>
      <w:i w:val="1"/>
      <w:iCs w:val="1"/>
      <w:color w:val="2e74b5"/>
    </w:rPr>
  </w:style>
  <w:style w:type="character" w:styleId="Nagwek5Znak" w:customStyle="1">
    <w:name w:val="Nagłówek 5 Znak"/>
    <w:basedOn w:val="Domylnaczcionkaakapitu"/>
    <w:rPr>
      <w:rFonts w:cs="Times New Roman" w:eastAsia="Times New Roman"/>
      <w:color w:val="2e74b5"/>
    </w:rPr>
  </w:style>
  <w:style w:type="character" w:styleId="Nagwek6Znak" w:customStyle="1">
    <w:name w:val="Nagłówek 6 Znak"/>
    <w:basedOn w:val="Domylnaczcionkaakapitu"/>
    <w:rPr>
      <w:rFonts w:cs="Times New Roman" w:eastAsia="Times New Roman"/>
      <w:i w:val="1"/>
      <w:iCs w:val="1"/>
      <w:color w:val="595959"/>
    </w:rPr>
  </w:style>
  <w:style w:type="character" w:styleId="Nagwek7Znak" w:customStyle="1">
    <w:name w:val="Nagłówek 7 Znak"/>
    <w:basedOn w:val="Domylnaczcionkaakapitu"/>
    <w:rPr>
      <w:rFonts w:cs="Times New Roman" w:eastAsia="Times New Roman"/>
      <w:color w:val="595959"/>
    </w:rPr>
  </w:style>
  <w:style w:type="character" w:styleId="Nagwek8Znak" w:customStyle="1">
    <w:name w:val="Nagłówek 8 Znak"/>
    <w:basedOn w:val="Domylnaczcionkaakapitu"/>
    <w:rPr>
      <w:rFonts w:cs="Times New Roman" w:eastAsia="Times New Roman"/>
      <w:i w:val="1"/>
      <w:iCs w:val="1"/>
      <w:color w:val="272727"/>
    </w:rPr>
  </w:style>
  <w:style w:type="character" w:styleId="Nagwek9Znak" w:customStyle="1">
    <w:name w:val="Nagłówek 9 Znak"/>
    <w:basedOn w:val="Domylnaczcionkaakapitu"/>
    <w:rPr>
      <w:rFonts w:cs="Times New Roman" w:eastAsia="Times New Roman"/>
      <w:color w:val="272727"/>
    </w:rPr>
  </w:style>
  <w:style w:type="character" w:styleId="TytuZnak" w:customStyle="1">
    <w:name w:val="Tytuł Znak"/>
    <w:basedOn w:val="Domylnaczcionkaakapitu"/>
    <w:rPr>
      <w:rFonts w:ascii="Calibri Light" w:cs="Times New Roman" w:eastAsia="Times New Roman" w:hAnsi="Calibri Light"/>
      <w:spacing w:val="-10"/>
      <w:kern w:val="3"/>
      <w:sz w:val="56"/>
      <w:szCs w:val="56"/>
    </w:rPr>
  </w:style>
  <w:style w:type="character" w:styleId="PodtytuZnak" w:customStyle="1">
    <w:name w:val="Podtytuł Znak"/>
    <w:basedOn w:val="Domylnaczcionkaakapitu"/>
    <w:rPr>
      <w:rFonts w:cs="Times New Roman" w:eastAsia="Times New Roman"/>
      <w:color w:val="595959"/>
      <w:spacing w:val="15"/>
      <w:sz w:val="28"/>
      <w:szCs w:val="28"/>
    </w:rPr>
  </w:style>
  <w:style w:type="paragraph" w:styleId="Cytat">
    <w:name w:val="Quote"/>
    <w:pPr>
      <w:spacing w:before="160"/>
      <w:jc w:val="center"/>
    </w:pPr>
    <w:rPr>
      <w:i w:val="1"/>
      <w:iCs w:val="1"/>
      <w:color w:val="404040"/>
    </w:rPr>
  </w:style>
  <w:style w:type="character" w:styleId="CytatZnak" w:customStyle="1">
    <w:name w:val="Cytat Znak"/>
    <w:basedOn w:val="Domylnaczcionkaakapitu"/>
    <w:rPr>
      <w:i w:val="1"/>
      <w:iCs w:val="1"/>
      <w:color w:val="404040"/>
    </w:rPr>
  </w:style>
  <w:style w:type="paragraph" w:styleId="Akapitzlist">
    <w:name w:val="List Paragraph"/>
    <w:qFormat w:val="1"/>
    <w:pPr>
      <w:ind w:left="720"/>
    </w:pPr>
  </w:style>
  <w:style w:type="character" w:styleId="Wyrnienieintensywne">
    <w:name w:val="Intense Emphasis"/>
    <w:basedOn w:val="Domylnaczcionkaakapitu"/>
    <w:rPr>
      <w:i w:val="1"/>
      <w:iCs w:val="1"/>
      <w:color w:val="2e74b5"/>
    </w:rPr>
  </w:style>
  <w:style w:type="paragraph" w:styleId="Cytatintensywny">
    <w:name w:val="Intense Quote"/>
    <w:pPr>
      <w:pBdr>
        <w:top w:color="2e74b5" w:space="10" w:sz="4" w:val="single"/>
        <w:bottom w:color="2e74b5" w:space="10" w:sz="4" w:val="single"/>
      </w:pBdr>
      <w:spacing w:after="360" w:before="360"/>
      <w:ind w:left="864" w:right="864"/>
      <w:jc w:val="center"/>
    </w:pPr>
    <w:rPr>
      <w:i w:val="1"/>
      <w:iCs w:val="1"/>
      <w:color w:val="2e74b5"/>
    </w:rPr>
  </w:style>
  <w:style w:type="character" w:styleId="CytatintensywnyZnak" w:customStyle="1">
    <w:name w:val="Cytat intensywny Znak"/>
    <w:basedOn w:val="Domylnaczcionkaakapitu"/>
    <w:rPr>
      <w:i w:val="1"/>
      <w:iCs w:val="1"/>
      <w:color w:val="2e74b5"/>
    </w:rPr>
  </w:style>
  <w:style w:type="character" w:styleId="Odwoanieintensywne">
    <w:name w:val="Intense Reference"/>
    <w:basedOn w:val="Domylnaczcionkaakapitu"/>
    <w:rPr>
      <w:b w:val="1"/>
      <w:bCs w:val="1"/>
      <w:smallCaps w:val="1"/>
      <w:color w:val="2e74b5"/>
      <w:spacing w:val="5"/>
    </w:rPr>
  </w:style>
  <w:style w:type="paragraph" w:styleId="NormalnyWeb">
    <w:name w:val="Normal (Web)"/>
    <w:pPr>
      <w:spacing w:after="100" w:before="100"/>
    </w:pPr>
    <w:rPr>
      <w:rFonts w:ascii="Times New Roman" w:eastAsia="Times New Roman" w:hAnsi="Times New Roman"/>
      <w:sz w:val="24"/>
      <w:szCs w:val="24"/>
    </w:rPr>
  </w:style>
  <w:style w:type="character" w:styleId="AkapitzlistZnak" w:customStyle="1">
    <w:name w:val="Akapit z listą Znak"/>
  </w:style>
  <w:style w:type="paragraph" w:styleId="text" w:customStyle="1">
    <w:name w:val="text"/>
    <w:pPr>
      <w:spacing w:after="100" w:before="100"/>
    </w:pPr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Pogrubienie">
    <w:name w:val="Strong"/>
    <w:basedOn w:val="Domylnaczcionkaakapitu"/>
    <w:rPr>
      <w:b w:val="1"/>
      <w:bCs w:val="1"/>
    </w:rPr>
  </w:style>
  <w:style w:type="paragraph" w:styleId="Zwykytekst">
    <w:name w:val="Plain Text"/>
    <w:pPr>
      <w:spacing w:after="0"/>
    </w:pPr>
    <w:rPr>
      <w:sz w:val="24"/>
      <w:szCs w:val="21"/>
    </w:rPr>
  </w:style>
  <w:style w:type="character" w:styleId="ZwykytekstZnak" w:customStyle="1">
    <w:name w:val="Zwykły tekst Znak"/>
    <w:basedOn w:val="Domylnaczcionkaakapitu"/>
    <w:rPr>
      <w:rFonts w:ascii="Calibri" w:cs="Times New Roman" w:eastAsia="Calibri" w:hAnsi="Calibri"/>
      <w:sz w:val="24"/>
      <w:szCs w:val="21"/>
      <w:lang w:eastAsia="pl-PL"/>
    </w:rPr>
  </w:style>
  <w:style w:type="paragraph" w:styleId="Tekstpodstawowy32" w:customStyle="1">
    <w:name w:val="Tekst podstawowy 32"/>
    <w:pPr>
      <w:spacing w:after="120"/>
    </w:pPr>
    <w:rPr>
      <w:rFonts w:ascii="Times New Roman" w:hAnsi="Times New Roman"/>
      <w:sz w:val="16"/>
      <w:szCs w:val="16"/>
      <w:lang w:eastAsia="ar-SA"/>
    </w:rPr>
  </w:style>
  <w:style w:type="paragraph" w:styleId="Zawartotabeli" w:customStyle="1">
    <w:name w:val="Zawartość tabeli"/>
    <w:pPr>
      <w:suppressLineNumbers w:val="1"/>
      <w:spacing w:after="0"/>
    </w:pPr>
    <w:rPr>
      <w:rFonts w:ascii="Times New Roman" w:eastAsia="Times New Roman" w:hAnsi="Times New Roman"/>
      <w:sz w:val="24"/>
      <w:szCs w:val="24"/>
    </w:rPr>
  </w:style>
  <w:style w:type="character" w:styleId="Nierozpoznanawzmianka1" w:customStyle="1">
    <w:name w:val="Nierozpoznana wzmianka1"/>
    <w:basedOn w:val="Domylnaczcionkaakapitu"/>
    <w:rPr>
      <w:color w:val="605e5c"/>
      <w:shd w:color="auto" w:fill="e1dfdd" w:val="clear"/>
    </w:rPr>
  </w:style>
  <w:style w:type="paragraph" w:styleId="Tekstdymka">
    <w:name w:val="Balloon Text"/>
    <w:pPr>
      <w:spacing w:after="0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rPr>
      <w:rFonts w:ascii="Tahoma" w:cs="Tahoma" w:eastAsia="Calibri" w:hAnsi="Tahoma"/>
      <w:kern w:val="3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rPr>
      <w:sz w:val="20"/>
      <w:szCs w:val="20"/>
    </w:rPr>
  </w:style>
  <w:style w:type="character" w:styleId="TekstkomentarzaZnak" w:customStyle="1">
    <w:name w:val="Tekst komentarza Znak"/>
    <w:basedOn w:val="Domylnaczcionkaakapitu"/>
    <w:rPr>
      <w:rFonts w:ascii="Calibri" w:cs="Times New Roman" w:eastAsia="Calibri" w:hAnsi="Calibri"/>
      <w:kern w:val="3"/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 w:val="1"/>
      <w:bCs w:val="1"/>
    </w:rPr>
  </w:style>
  <w:style w:type="character" w:styleId="TematkomentarzaZnak" w:customStyle="1">
    <w:name w:val="Temat komentarza Znak"/>
    <w:basedOn w:val="TekstkomentarzaZnak"/>
    <w:rPr>
      <w:rFonts w:ascii="Calibri" w:cs="Times New Roman" w:eastAsia="Calibri" w:hAnsi="Calibri"/>
      <w:b w:val="1"/>
      <w:bCs w:val="1"/>
      <w:kern w:val="3"/>
      <w:sz w:val="20"/>
      <w:szCs w:val="20"/>
    </w:rPr>
  </w:style>
  <w:style w:type="paragraph" w:styleId="Poprawka">
    <w:name w:val="Revision"/>
    <w:pPr>
      <w:suppressAutoHyphens w:val="1"/>
      <w:spacing w:after="0"/>
    </w:pPr>
    <w:rPr>
      <w:kern w:val="3"/>
    </w:rPr>
  </w:style>
  <w:style w:type="paragraph" w:styleId="Nagwek">
    <w:name w:val="header"/>
    <w:pPr>
      <w:tabs>
        <w:tab w:val="center" w:pos="4536"/>
        <w:tab w:val="right" w:pos="9072"/>
      </w:tabs>
      <w:spacing w:after="0"/>
    </w:pPr>
  </w:style>
  <w:style w:type="character" w:styleId="NagwekZnak" w:customStyle="1">
    <w:name w:val="Nagłówek Znak"/>
    <w:basedOn w:val="Domylnaczcionkaakapitu"/>
    <w:rPr>
      <w:rFonts w:ascii="Calibri" w:cs="Times New Roman" w:eastAsia="Calibri" w:hAnsi="Calibri"/>
      <w:kern w:val="3"/>
    </w:rPr>
  </w:style>
  <w:style w:type="paragraph" w:styleId="Stopka">
    <w:name w:val="footer"/>
    <w:pPr>
      <w:tabs>
        <w:tab w:val="center" w:pos="4536"/>
        <w:tab w:val="right" w:pos="9072"/>
      </w:tabs>
      <w:spacing w:after="0"/>
    </w:pPr>
  </w:style>
  <w:style w:type="character" w:styleId="StopkaZnak" w:customStyle="1">
    <w:name w:val="Stopka Znak"/>
    <w:basedOn w:val="Domylnaczcionkaakapitu"/>
    <w:rPr>
      <w:rFonts w:ascii="Calibri" w:cs="Times New Roman" w:eastAsia="Calibri" w:hAnsi="Calibri"/>
      <w:kern w:val="3"/>
    </w:rPr>
  </w:style>
  <w:style w:type="paragraph" w:styleId="Default" w:customStyle="1">
    <w:name w:val="Default"/>
    <w:pPr>
      <w:suppressAutoHyphens w:val="1"/>
      <w:autoSpaceDE w:val="0"/>
      <w:spacing w:after="0"/>
    </w:pPr>
    <w:rPr>
      <w:rFonts w:ascii="Arial" w:cs="Arial" w:hAnsi="Arial"/>
      <w:color w:val="000000"/>
      <w:sz w:val="24"/>
      <w:szCs w:val="24"/>
    </w:rPr>
  </w:style>
  <w:style w:type="table" w:styleId="a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0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0SrMX4dnOXaEXUaowjugAbHlgA==">CgMxLjAaHwoBMBIaChgICVIUChJ0YWJsZS53Zmk1N3Bzcmh1ZDYyDmgucHFjZTN1dzZucmM1Mg5oLmVubnd0YTdyaGpkZjgAajwKNXN1Z2dlc3RJZEltcG9ydDFkYjk2YzI0LTliZTYtNDI0MS04MTIzLWY0ZWRkZDc1ZGJmOF8xEgNTSktqPAo1c3VnZ2VzdElkSW1wb3J0MWRiOTZjMjQtOWJlNi00MjQxLTgxMjMtZjRlZGRkNzVkYmY4XzMSA1NKS2o8CjVzdWdnZXN0SWRJbXBvcnQxZGI5NmMyNC05YmU2LTQyNDEtODEyMy1mNGVkZGQ3NWRiZjhfNBIDU0pLciExVU0xMTUyamhVYzRodG0tcVRiazhaWU13cWR3RnhuRn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2026-03-09T22:03:00Z</dcterms:created>
  <dc:creator>Katarzyna KG. Grzyb</dc:creator>
</cp:coreProperties>
</file>